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29" w:rsidRPr="00F24029" w:rsidRDefault="00F24029" w:rsidP="00F24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4029">
        <w:rPr>
          <w:rFonts w:ascii="Times New Roman" w:hAnsi="Times New Roman" w:cs="Times New Roman"/>
          <w:b/>
          <w:sz w:val="28"/>
          <w:szCs w:val="28"/>
        </w:rPr>
        <w:t>Памятка по профилактике</w:t>
      </w:r>
      <w:r w:rsidRPr="00F24029">
        <w:rPr>
          <w:rFonts w:ascii="Times New Roman" w:hAnsi="Times New Roman" w:cs="Times New Roman"/>
          <w:b/>
          <w:sz w:val="28"/>
          <w:szCs w:val="28"/>
        </w:rPr>
        <w:t xml:space="preserve"> экстремизма</w:t>
      </w:r>
    </w:p>
    <w:p w:rsidR="00F24029" w:rsidRPr="00F24029" w:rsidRDefault="00F24029" w:rsidP="00F24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в подростковой среде</w:t>
      </w:r>
    </w:p>
    <w:bookmarkEnd w:id="0"/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 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029">
        <w:rPr>
          <w:rFonts w:ascii="Times New Roman" w:hAnsi="Times New Roman" w:cs="Times New Roman"/>
          <w:sz w:val="28"/>
          <w:szCs w:val="28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proofErr w:type="gramStart"/>
      <w:r w:rsidRPr="00F24029">
        <w:rPr>
          <w:rFonts w:ascii="Times New Roman" w:hAnsi="Times New Roman" w:cs="Times New Roman"/>
          <w:sz w:val="28"/>
          <w:szCs w:val="28"/>
        </w:rPr>
        <w:t>принадлежности</w:t>
      </w:r>
      <w:proofErr w:type="gramEnd"/>
      <w:r w:rsidRPr="00F24029">
        <w:rPr>
          <w:rFonts w:ascii="Times New Roman" w:hAnsi="Times New Roman" w:cs="Times New Roman"/>
          <w:sz w:val="28"/>
          <w:szCs w:val="28"/>
        </w:rPr>
        <w:t xml:space="preserve">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Считать те или иные действия экстремистскими позволяет совокупность следующих критериев: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1.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2.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Следует выделить основные особенности экстремизма в молодежной среде.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lastRenderedPageBreak/>
        <w:t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В-четвертых,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Во-первых, 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Во-вторых, 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В-третьих, 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В-четвертых, 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В-пятых, 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В-шестых, 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</w:t>
      </w:r>
      <w:proofErr w:type="gramStart"/>
      <w:r w:rsidRPr="00F24029">
        <w:rPr>
          <w:rFonts w:ascii="Times New Roman" w:hAnsi="Times New Roman" w:cs="Times New Roman"/>
          <w:sz w:val="28"/>
          <w:szCs w:val="28"/>
        </w:rPr>
        <w:t>» ?</w:t>
      </w:r>
      <w:proofErr w:type="gramEnd"/>
      <w:r w:rsidRPr="00F24029">
        <w:rPr>
          <w:rFonts w:ascii="Times New Roman" w:hAnsi="Times New Roman" w:cs="Times New Roman"/>
          <w:sz w:val="28"/>
          <w:szCs w:val="28"/>
        </w:rPr>
        <w:t xml:space="preserve"> «они». Также ему присуща неустойчивая психика, легко подверженная внушению и манипулированию. 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F24029" w:rsidRPr="00F24029" w:rsidRDefault="00F24029" w:rsidP="00F2402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1.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Информирование молодежи об экстремизме, об опасности экстремистских организаций;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2.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 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3.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4.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 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5.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6.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7.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Научить детей ценить разнообразие и различия, уважать достоинство каждого человека. 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8.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Создание условий для снижения агрессии, напряженности;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b/>
          <w:sz w:val="28"/>
          <w:szCs w:val="28"/>
        </w:rPr>
        <w:t>9.</w:t>
      </w:r>
      <w:r w:rsidRPr="00F24029">
        <w:rPr>
          <w:rFonts w:ascii="Times New Roman" w:hAnsi="Times New Roman" w:cs="Times New Roman"/>
          <w:sz w:val="28"/>
          <w:szCs w:val="28"/>
        </w:rPr>
        <w:t xml:space="preserve">    Создание альтернативных форм реализации экстремального </w:t>
      </w:r>
      <w:proofErr w:type="gramStart"/>
      <w:r w:rsidRPr="00F24029">
        <w:rPr>
          <w:rFonts w:ascii="Times New Roman" w:hAnsi="Times New Roman" w:cs="Times New Roman"/>
          <w:sz w:val="28"/>
          <w:szCs w:val="28"/>
        </w:rPr>
        <w:t>потенциала  молодежи</w:t>
      </w:r>
      <w:proofErr w:type="gramEnd"/>
      <w:r w:rsidRPr="00F24029">
        <w:rPr>
          <w:rFonts w:ascii="Times New Roman" w:hAnsi="Times New Roman" w:cs="Times New Roman"/>
          <w:sz w:val="28"/>
          <w:szCs w:val="28"/>
        </w:rPr>
        <w:t>: (например, занятия творчеством или спортом, разнообразные хобби, клубы и т. д.).</w:t>
      </w:r>
    </w:p>
    <w:p w:rsidR="00F24029" w:rsidRPr="00F24029" w:rsidRDefault="00F24029" w:rsidP="00F240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029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</w:t>
      </w:r>
    </w:p>
    <w:p w:rsidR="00D33850" w:rsidRPr="00F24029" w:rsidRDefault="00D33850" w:rsidP="00F24029">
      <w:pPr>
        <w:spacing w:after="0"/>
        <w:rPr>
          <w:sz w:val="28"/>
          <w:szCs w:val="28"/>
        </w:rPr>
      </w:pPr>
    </w:p>
    <w:sectPr w:rsidR="00D33850" w:rsidRPr="00F2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29"/>
    <w:rsid w:val="00D33850"/>
    <w:rsid w:val="00F2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BBD0"/>
  <w15:chartTrackingRefBased/>
  <w15:docId w15:val="{31AFC667-93DC-4700-814E-A0A4BEAE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2022-11-02T12:12:00Z</dcterms:created>
  <dcterms:modified xsi:type="dcterms:W3CDTF">2022-11-02T12:14:00Z</dcterms:modified>
</cp:coreProperties>
</file>